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kk-KZ"/>
        </w:rPr>
        <w:t xml:space="preserve">Денсаулық сақтау басқармасының                                                 Управления здравоохранения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 xml:space="preserve">«Емхана № 2 Қостанай қаласы»                                                     Акимата Костанайской области </w:t>
      </w:r>
    </w:p>
    <w:p>
      <w:pPr>
        <w:pStyle w:val="Normal"/>
        <w:spacing w:lineRule="auto" w:line="240" w:before="0" w:after="0"/>
        <w:ind w:start="637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val="kk-KZ"/>
        </w:rPr>
        <w:t>КГП«Поликлиника №2 г.Костанай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  <w:lang w:val="kk-KZ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kk-KZ"/>
        </w:rPr>
        <w:t>Протокол совещания № 2</w:t>
        <w:br/>
        <w:t>по вопросам реализации антикоррупционных программ РК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12</w:t>
      </w:r>
      <w:r>
        <w:rPr>
          <w:rFonts w:cs="Times New Roman" w:ascii="Times New Roman" w:hAnsi="Times New Roman"/>
          <w:sz w:val="28"/>
          <w:szCs w:val="28"/>
          <w:lang w:val="kk-KZ"/>
        </w:rPr>
        <w:t>.0</w:t>
      </w:r>
      <w:r>
        <w:rPr>
          <w:rFonts w:cs="Times New Roman" w:ascii="Times New Roman" w:hAnsi="Times New Roman"/>
          <w:sz w:val="28"/>
          <w:szCs w:val="28"/>
          <w:lang w:val="ru-RU"/>
        </w:rPr>
        <w:t>5</w:t>
      </w:r>
      <w:r>
        <w:rPr>
          <w:rFonts w:cs="Times New Roman" w:ascii="Times New Roman" w:hAnsi="Times New Roman"/>
          <w:sz w:val="28"/>
          <w:szCs w:val="28"/>
          <w:lang w:val="kk-KZ"/>
        </w:rPr>
        <w:t>.202</w:t>
      </w:r>
      <w:r>
        <w:rPr>
          <w:rFonts w:cs="Times New Roman" w:ascii="Times New Roman" w:hAnsi="Times New Roman"/>
          <w:sz w:val="28"/>
          <w:szCs w:val="28"/>
          <w:lang w:val="ru-RU"/>
        </w:rPr>
        <w:t>6</w:t>
      </w:r>
      <w:r>
        <w:rPr>
          <w:rFonts w:cs="Times New Roman" w:ascii="Times New Roman" w:hAnsi="Times New Roman"/>
          <w:sz w:val="28"/>
          <w:szCs w:val="28"/>
          <w:lang w:val="kk-KZ"/>
        </w:rPr>
        <w:t xml:space="preserve"> г.</w:t>
      </w:r>
      <w:r>
        <w:rPr>
          <w:rFonts w:cs="Times New Roman" w:ascii="Times New Roman" w:hAnsi="Times New Roman"/>
          <w:sz w:val="28"/>
          <w:szCs w:val="28"/>
        </w:rPr>
        <w:tab/>
        <w:tab/>
      </w:r>
      <w:r>
        <w:rPr>
          <w:rFonts w:cs="Times New Roman" w:ascii="Times New Roman" w:hAnsi="Times New Roman"/>
          <w:sz w:val="28"/>
          <w:szCs w:val="28"/>
          <w:lang w:val="kk-KZ"/>
        </w:rPr>
        <w:t xml:space="preserve">                                                                город Костанай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Докладчик: Ермакова С.Ф.</w:t>
      </w:r>
      <w:r>
        <w:rPr>
          <w:rFonts w:cs="Times New Roman" w:ascii="Times New Roman" w:hAnsi="Times New Roman"/>
          <w:b/>
          <w:sz w:val="28"/>
          <w:szCs w:val="28"/>
          <w:lang w:val="kk-KZ"/>
        </w:rPr>
        <w:t xml:space="preserve"> – комплаенс-офицер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  <w:lang w:val="kk-KZ"/>
        </w:rPr>
        <w:t>Присутствовали :  сотрудники  КГП «Поликлиника №2»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</w:p>
    <w:p>
      <w:pPr>
        <w:pStyle w:val="Normal"/>
        <w:shd w:val="clear" w:color="FFFFFF" w:fill="FFFFFF"/>
        <w:ind w:hanging="0" w:start="0" w:end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Тема: Памятка по сдаче подарков полученных сотрудниками  КГП «Поликлиника № 2 г. Костанай»</w:t>
      </w:r>
    </w:p>
    <w:p>
      <w:pPr>
        <w:pStyle w:val="Normal"/>
        <w:shd w:val="clear" w:color="FFFFFF" w:fill="FFFFFF"/>
        <w:spacing w:lineRule="atLeast" w:line="360"/>
        <w:ind w:hanging="0" w:start="0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349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ПАМЯТКА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br/>
        <w:t xml:space="preserve">  </w:t>
        <w:br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Лица в течение 7 календарных дней со дня получения (обнаружения) подарков, указанных в пункте 1 статьи 216 Закона РК «О государственном имуществе»  (поступившего без ведома лица; полученного лицом в связи с его должностным положением или исполнением служебных обязанностей; переданного (врученного) публично или во время официальных мероприятий в связи с его должностным положением или исполнением служебных обязанностей) сдают его в территориальные подразделения Костанайский департамент государственного имущества и приватизации Министерства финансов Республики Казахстан (далее – уполномоченный орган) или местные исполнительные органы (далее – МИО). Сдача подарка осуществляется по акту описи, оценки и (или) приема- передачи имущества, составляемому уполномоченным органом </w:t>
      </w:r>
      <w:r>
        <w:rPr>
          <w:rFonts w:eastAsia="Times New Roman" w:cs="Times New Roman" w:ascii="Times New Roman" w:hAnsi="Times New Roman"/>
          <w:color w:themeColor="text1" w:themeTint="f2" w:val="0D0D0D"/>
          <w:sz w:val="28"/>
          <w:szCs w:val="28"/>
          <w:lang w:eastAsia="ru-RU"/>
        </w:rPr>
        <w:t xml:space="preserve">или МИО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 установленной форме, с приложением лицом письменного уведомления о выкупе либо об отказе в выкупе (далее – уведомление).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Уведомление должно содержать следующие сведения: </w:t>
        <w:br/>
        <w:t xml:space="preserve">-наименование уполномоченного органа или МИО; </w:t>
        <w:br/>
        <w:t xml:space="preserve">-Ф.И.О. лица, сдающего подарок, его должность, место работы, контактные данные; </w:t>
        <w:br/>
        <w:t xml:space="preserve">-наименование подарка, его количество и краткая характеристика; </w:t>
        <w:br/>
        <w:t>- информация о согласии выкупить подарок либо об отказе от выкупа.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этом, в случае выкупа подарка на уведомлении вышестоящим должностным лицом делается отметка о согласовании выкупа (Ф.И.О., должность, подпись, заверенная печатью).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При сдаче лицом подарка в МИО, МИО в течение 5 рабочих дней направляет соответствующее уведомление в уполномоченный орган. Подарки, сданные в МИО, подлежат передаче уполномоченному органу для организации учета, хранения и оценки в вышеуказанный срок.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4. В течение 7 календарных дней после получения уполномоченным органом соответствующего уведомления от лица, сдавшего подарок, уполномоченным органом производится оценка подарка и заключается договор купли-продажи с указанным лицом. При этом, срок проведения оценки и заключения договора купли- продажи по подаркам, сданным лицами в МИО, исчисляется с момента получения соответствующего уведомления от местного исполнительного органа. </w:t>
        <w:br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5.Уполномоченный орган вправе произвести реализацию подарка из специального государственного фонда третьим лицам только после письменного отказа от выкупа лицом, сдавшим подарок.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br/>
        <w:tab/>
        <w:t>Справочная информация: в соответствии с подпунктом 4) пункта 1 статьи 472 Кодекса Республики Казахстан от 5 июля 2014 года «Об административных правонарушениях» за неполную и (или) несвоевременную передачу в уполномоченный орган имущества в виде подарков, если эти деяния не имеют признаков уголовно наказуемого деяния, предусмотрена административно-правовая ответственность.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Уполномоченный орган по управлению государственным имуществом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это ГУ «Костанайский департамент государственного имущества и приватизации министерства финансов» Республики Казахстан.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Адрес: г. Костанай, ул. Алтынсарина, 151 А кабинет№ 11.Телефон 8(7142)53-13-40</w:t>
      </w:r>
      <w:bookmarkStart w:id="1" w:name="bookmark18"/>
      <w:bookmarkStart w:id="2" w:name="bookmark16"/>
      <w:bookmarkStart w:id="3" w:name="bookmark15"/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>Всем структурным подразделениям:</w:t>
      </w:r>
      <w:bookmarkEnd w:id="1"/>
      <w:bookmarkEnd w:id="2"/>
      <w:bookmarkEnd w:id="3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971" w:leader="none"/>
        </w:tabs>
        <w:spacing w:lineRule="auto" w:line="240" w:before="0" w:after="0"/>
        <w:ind w:hanging="0" w:start="0"/>
        <w:jc w:val="both"/>
        <w:rPr>
          <w:rFonts w:ascii="Times New Roman" w:hAnsi="Times New Roman"/>
          <w:sz w:val="28"/>
          <w:szCs w:val="28"/>
        </w:rPr>
      </w:pPr>
      <w:bookmarkStart w:id="4" w:name="bookmark19"/>
      <w:bookmarkEnd w:id="4"/>
      <w:r>
        <w:rPr>
          <w:rFonts w:ascii="Times New Roman" w:hAnsi="Times New Roman"/>
          <w:color w:val="000000"/>
          <w:sz w:val="28"/>
          <w:szCs w:val="28"/>
          <w:lang w:bidi="ru-RU"/>
        </w:rPr>
        <w:t>Принять к сведению представленную информацию.</w:t>
      </w:r>
    </w:p>
    <w:p>
      <w:pPr>
        <w:pStyle w:val="Normal"/>
        <w:tabs>
          <w:tab w:val="clear" w:pos="708"/>
          <w:tab w:val="left" w:pos="1365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spacing w:before="0" w:after="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Докладчик:</w:t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Ермакова С.Ф.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isLgl/>
      <w:lvlText w:val="·"/>
      <w:lvlJc w:val="start"/>
      <w:pPr>
        <w:tabs>
          <w:tab w:val="num" w:pos="0"/>
        </w:tabs>
        <w:ind w:start="709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start"/>
      <w:pPr>
        <w:tabs>
          <w:tab w:val="num" w:pos="0"/>
        </w:tabs>
        <w:ind w:start="1429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start"/>
      <w:pPr>
        <w:tabs>
          <w:tab w:val="num" w:pos="0"/>
        </w:tabs>
        <w:ind w:start="2149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start"/>
      <w:pPr>
        <w:tabs>
          <w:tab w:val="num" w:pos="0"/>
        </w:tabs>
        <w:ind w:start="2869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start"/>
      <w:pPr>
        <w:tabs>
          <w:tab w:val="num" w:pos="0"/>
        </w:tabs>
        <w:ind w:start="3589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start"/>
      <w:pPr>
        <w:tabs>
          <w:tab w:val="num" w:pos="0"/>
        </w:tabs>
        <w:ind w:start="4309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start"/>
      <w:pPr>
        <w:tabs>
          <w:tab w:val="num" w:pos="0"/>
        </w:tabs>
        <w:ind w:start="5029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start"/>
      <w:pPr>
        <w:tabs>
          <w:tab w:val="num" w:pos="0"/>
        </w:tabs>
        <w:ind w:start="5749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start"/>
      <w:pPr>
        <w:tabs>
          <w:tab w:val="num" w:pos="0"/>
        </w:tabs>
        <w:ind w:start="646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user4">
    <w:name w:val="Колонтитулы (user)"/>
    <w:basedOn w:val="Normal"/>
    <w:qFormat/>
    <w:pPr/>
    <w:rPr/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star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star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star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star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star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star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star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start="176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numbering" w:styleId="user5" w:default="1">
    <w:name w:val="Без списка (user)"/>
    <w:uiPriority w:val="99"/>
    <w:semiHidden/>
    <w:unhideWhenUsed/>
    <w:qFormat/>
  </w:style>
  <w:style w:type="table" w:styleId="725">
    <w:name w:val="Table Grid"/>
    <w:basedOn w:val="91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Table Grid Light"/>
    <w:basedOn w:val="91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Plain Table 1"/>
    <w:basedOn w:val="91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Plain Table 2"/>
    <w:basedOn w:val="91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1" w:themeFillTint="75"/>
      </w:tcPr>
    </w:tblStylePr>
    <w:tblStylePr w:type="band1Vert">
      <w:tblPr/>
      <w:tcPr>
        <w:shd w:val="clear" w:color="FFFFFF" w:fill="B4D1EC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5" w:themeFillTint="7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68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07abd" w:themeColor="accent1" w:themeTint="80" w:themeShade="95"/>
      </w:rPr>
      <w:tblPr/>
    </w:tblStylePr>
    <w:tblStylePr w:type="firstRow">
      <w:rPr>
        <w:b/>
        <w:color w:val="307abd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tblPr/>
    </w:tblStylePr>
    <w:tblStylePr w:type="lastRow">
      <w:rPr>
        <w:b/>
        <w:color w:val="307abd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69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b5d12" w:themeColor="accent2" w:themeTint="97" w:themeShade="95"/>
      </w:rPr>
      <w:tblPr/>
    </w:tblStylePr>
    <w:tblStylePr w:type="firstRow">
      <w:rPr>
        <w:b/>
        <w:color w:val="cb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b5d12" w:themeColor="accent2" w:themeTint="97" w:themeShade="95"/>
      </w:rPr>
      <w:tblPr/>
    </w:tblStylePr>
    <w:tblStylePr w:type="lastRow">
      <w:rPr>
        <w:b/>
        <w:color w:val="cb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70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16161" w:themeColor="accent3" w:themeTint="fe" w:themeShade="95"/>
      </w:rPr>
      <w:tblPr/>
    </w:tblStylePr>
    <w:tblStylePr w:type="firstRow">
      <w:rPr>
        <w:b/>
        <w:color w:val="61616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16161" w:themeColor="accent3" w:themeTint="fe" w:themeShade="95"/>
      </w:rPr>
      <w:tblPr/>
    </w:tblStylePr>
    <w:tblStylePr w:type="lastRow">
      <w:rPr>
        <w:b/>
        <w:color w:val="616161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71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72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5" w:themeShade="95"/>
      </w:rPr>
      <w:tblPr/>
    </w:tblStylePr>
    <w:tblStylePr w:type="firstRow">
      <w:rPr>
        <w:b/>
        <w:color w:val="254275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tblPr/>
    </w:tblStylePr>
    <w:tblStylePr w:type="lastRow">
      <w:rPr>
        <w:b/>
        <w:color w:val="254275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3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5" w:themeShade="95"/>
      </w:rPr>
      <w:tblPr/>
    </w:tblStylePr>
    <w:tblStylePr w:type="firstRow">
      <w:rPr>
        <w:b/>
        <w:color w:val="254275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tblPr/>
    </w:tblStylePr>
    <w:tblStylePr w:type="lastRow">
      <w:rPr>
        <w:b/>
        <w:color w:val="254275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4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07abd"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val="307abd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07abd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b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b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b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16161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16161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1616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275"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val="254275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542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275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54275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0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1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2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3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4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5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6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1" w:themeShade="95"/>
      </w:rPr>
      <w:tblPr/>
    </w:tblStylePr>
    <w:tblStylePr w:type="firstRow">
      <w:rPr>
        <w:b/>
        <w:color w:val="245b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tblPr/>
    </w:tblStylePr>
    <w:tblStylePr w:type="lastRow">
      <w:rPr>
        <w:b/>
        <w:color w:val="245b8d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b5d12" w:themeColor="accent2" w:themeTint="97" w:themeShade="95"/>
      </w:rPr>
      <w:tblPr/>
    </w:tblStylePr>
    <w:tblStylePr w:type="firstRow">
      <w:rPr>
        <w:b/>
        <w:color w:val="cb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b5d12" w:themeColor="accent2" w:themeTint="97" w:themeShade="95"/>
      </w:rPr>
      <w:tblPr/>
    </w:tblStylePr>
    <w:tblStylePr w:type="lastRow">
      <w:rPr>
        <w:b/>
        <w:color w:val="cb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67676" w:themeColor="accent3" w:themeTint="98" w:themeShade="95"/>
      </w:rPr>
      <w:tblPr/>
    </w:tblStylePr>
    <w:tblStylePr w:type="firstRow">
      <w:rPr>
        <w:b/>
        <w:color w:val="767676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67676" w:themeColor="accent3" w:themeTint="98" w:themeShade="95"/>
      </w:rPr>
      <w:tblPr/>
    </w:tblStylePr>
    <w:tblStylePr w:type="lastRow">
      <w:rPr>
        <w:b/>
        <w:color w:val="767676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5aa1" w:themeColor="accent5" w:themeTint="9a" w:themeShade="95"/>
      </w:rPr>
      <w:tblPr/>
    </w:tblStylePr>
    <w:tblStylePr w:type="firstRow">
      <w:rPr>
        <w:b/>
        <w:color w:val="335aa1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aa1" w:themeColor="accent5" w:themeTint="9a" w:themeShade="95"/>
      </w:rPr>
      <w:tblPr/>
    </w:tblStylePr>
    <w:tblStylePr w:type="lastRow">
      <w:rPr>
        <w:b/>
        <w:color w:val="335aa1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24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b8d"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val="245b8d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45b8d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45b8d" w:themeColor="accent1" w:themeShade="95"/>
        <w:sz w:val="22"/>
      </w:rPr>
      <w:tblPr/>
    </w:tblStylePr>
  </w:style>
  <w:style w:type="table" w:styleId="825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b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b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b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b5d12" w:themeColor="accent2" w:themeTint="97" w:themeShade="95"/>
        <w:sz w:val="22"/>
      </w:rPr>
      <w:tblPr/>
    </w:tblStylePr>
  </w:style>
  <w:style w:type="table" w:styleId="826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67676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67676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67676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67676" w:themeColor="accent3" w:themeTint="98" w:themeShade="95"/>
        <w:sz w:val="22"/>
      </w:rPr>
      <w:tblPr/>
    </w:tblStylePr>
  </w:style>
  <w:style w:type="table" w:styleId="827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828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aa1"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val="335aa1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5aa1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5aa1" w:themeColor="accent5" w:themeTint="9a" w:themeShade="95"/>
        <w:sz w:val="22"/>
      </w:rPr>
      <w:tblPr/>
    </w:tblStylePr>
  </w:style>
  <w:style w:type="table" w:styleId="829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830">
    <w:name w:val="Lined - Accent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ned - Accent 1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ned - Accent 2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ned - Accent 3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ned - Accent 4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ned - Accent 5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Lined - Accent 6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Bordered &amp; Lined - Accent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Bordered &amp; Lined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Bordered &amp; Lined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Bordered &amp; Lined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Bordered &amp; Lined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Bordered &amp; Lined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Bordered &amp; Lined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1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LibreOffice/26.2.1.2$Windows_X86_64 LibreOffice_project/620$Build-2</Application>
  <AppVersion>15.0000</AppVersion>
  <Pages>2</Pages>
  <Words>427</Words>
  <Characters>3011</Characters>
  <CharactersWithSpaces>3694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2026-05-12T08:30:05Z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